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D6ECD">
      <w:pPr>
        <w:jc w:val="center"/>
        <w:rPr>
          <w:rFonts w:ascii="Cambria" w:hAnsi="Cambria"/>
          <w:b/>
          <w:bCs/>
          <w:lang w:val="en-US"/>
        </w:rPr>
      </w:pPr>
      <w:r>
        <w:rPr>
          <w:rFonts w:ascii="Cambria" w:hAnsi="Cambria"/>
          <w:b/>
          <w:bCs/>
          <w:lang w:val="en-US"/>
        </w:rPr>
        <w:t>PROGRAMME IMPLEMENTATION PLAN FOR BIOMEDICAL EQUIPMENT MAINTENANCE &amp; MANAGEMNT PROGRAMME (BMMP), MIZORAM 2026-27</w:t>
      </w:r>
    </w:p>
    <w:p w14:paraId="27560BDE">
      <w:pPr>
        <w:ind w:firstLine="720"/>
        <w:jc w:val="both"/>
        <w:rPr>
          <w:rFonts w:ascii="Cambria" w:hAnsi="Cambria"/>
          <w:b/>
          <w:bCs/>
        </w:rPr>
      </w:pPr>
      <w:r>
        <w:rPr>
          <w:rFonts w:ascii="Cambria" w:hAnsi="Cambria"/>
          <w:b/>
          <w:bCs/>
        </w:rPr>
        <w:t>1. Background</w:t>
      </w:r>
    </w:p>
    <w:p w14:paraId="2B120E34">
      <w:pPr>
        <w:ind w:firstLine="720"/>
        <w:jc w:val="both"/>
        <w:rPr>
          <w:rFonts w:ascii="Cambria" w:hAnsi="Cambria"/>
        </w:rPr>
      </w:pPr>
      <w:r>
        <w:rPr>
          <w:rFonts w:ascii="Cambria" w:hAnsi="Cambria"/>
        </w:rPr>
        <w:t xml:space="preserve">The </w:t>
      </w:r>
      <w:r>
        <w:rPr>
          <w:rFonts w:ascii="Cambria" w:hAnsi="Cambria"/>
          <w:i/>
          <w:iCs/>
        </w:rPr>
        <w:t>Biomedical Equipment Maintenance Programme (BEMP)</w:t>
      </w:r>
      <w:r>
        <w:rPr>
          <w:rFonts w:ascii="Cambria" w:hAnsi="Cambria"/>
        </w:rPr>
        <w:t xml:space="preserve"> has been implemented in the State of Mizoram since 2016 under the </w:t>
      </w:r>
      <w:r>
        <w:rPr>
          <w:rFonts w:ascii="Cambria" w:hAnsi="Cambria"/>
          <w:i/>
          <w:iCs/>
        </w:rPr>
        <w:t>Public Private Partnership (PPP)</w:t>
      </w:r>
      <w:r>
        <w:rPr>
          <w:rFonts w:ascii="Cambria" w:hAnsi="Cambria"/>
        </w:rPr>
        <w:t xml:space="preserve"> model. The programme was introduced to ensure the proper functioning, upkeep, and longevity of biomedical equipment across all public health facilities in the State, thereby improving the quality and reliability of healthcare services.</w:t>
      </w:r>
    </w:p>
    <w:p w14:paraId="6EB7B076">
      <w:pPr>
        <w:ind w:firstLine="720"/>
        <w:jc w:val="both"/>
        <w:rPr>
          <w:rFonts w:ascii="Cambria" w:hAnsi="Cambria"/>
        </w:rPr>
      </w:pPr>
      <w:r>
        <w:rPr>
          <w:rFonts w:ascii="Cambria" w:hAnsi="Cambria"/>
        </w:rPr>
        <w:t xml:space="preserve">Since its inception, </w:t>
      </w:r>
      <w:r>
        <w:rPr>
          <w:rFonts w:ascii="Cambria" w:hAnsi="Cambria"/>
          <w:i/>
          <w:iCs/>
        </w:rPr>
        <w:t>TRIMED</w:t>
      </w:r>
      <w:r>
        <w:rPr>
          <w:rFonts w:ascii="Cambria" w:hAnsi="Cambria"/>
        </w:rPr>
        <w:t xml:space="preserve"> has been operating under </w:t>
      </w:r>
      <w:r>
        <w:rPr>
          <w:rFonts w:ascii="Cambria" w:hAnsi="Cambria"/>
          <w:i/>
          <w:iCs/>
        </w:rPr>
        <w:t>HLL Lifecare Limited (HLL)</w:t>
      </w:r>
      <w:r>
        <w:rPr>
          <w:rFonts w:ascii="Cambria" w:hAnsi="Cambria"/>
        </w:rPr>
        <w:t xml:space="preserve"> as the service provider responsible for the maintenance and management of biomedical equipment in Mizoram.</w:t>
      </w:r>
    </w:p>
    <w:p w14:paraId="17F99B53">
      <w:pPr>
        <w:ind w:firstLine="720"/>
        <w:jc w:val="both"/>
        <w:rPr>
          <w:rFonts w:ascii="Cambria" w:hAnsi="Cambria"/>
        </w:rPr>
      </w:pPr>
      <w:r>
        <w:rPr>
          <w:rFonts w:ascii="Cambria" w:hAnsi="Cambria"/>
        </w:rPr>
        <w:t xml:space="preserve">The initial agreement was signed for a period of five years at a service rate of </w:t>
      </w:r>
      <w:r>
        <w:rPr>
          <w:rFonts w:ascii="Cambria" w:hAnsi="Cambria"/>
          <w:b/>
          <w:bCs/>
        </w:rPr>
        <w:t>14% of the total asset value</w:t>
      </w:r>
      <w:r>
        <w:rPr>
          <w:rFonts w:ascii="Cambria" w:hAnsi="Cambria"/>
        </w:rPr>
        <w:t xml:space="preserve">. Upon completion of the contract in 2021, it was extended for another five-year term at a reduced rate of </w:t>
      </w:r>
      <w:r>
        <w:rPr>
          <w:rFonts w:ascii="Cambria" w:hAnsi="Cambria"/>
          <w:b/>
          <w:bCs/>
        </w:rPr>
        <w:t>12.8% of the asset value</w:t>
      </w:r>
      <w:r>
        <w:rPr>
          <w:rFonts w:ascii="Cambria" w:hAnsi="Cambria"/>
        </w:rPr>
        <w:t xml:space="preserve">. The current contract will expire in </w:t>
      </w:r>
      <w:r>
        <w:rPr>
          <w:rFonts w:ascii="Cambria" w:hAnsi="Cambria"/>
          <w:b/>
          <w:bCs/>
        </w:rPr>
        <w:t>May 2026</w:t>
      </w:r>
      <w:r>
        <w:rPr>
          <w:rFonts w:ascii="Cambria" w:hAnsi="Cambria"/>
        </w:rPr>
        <w:t>.</w:t>
      </w:r>
    </w:p>
    <w:p w14:paraId="5DC88DC0">
      <w:pPr>
        <w:ind w:firstLine="720"/>
        <w:jc w:val="both"/>
        <w:rPr>
          <w:rFonts w:ascii="Cambria" w:hAnsi="Cambria"/>
        </w:rPr>
      </w:pPr>
      <w:r>
        <w:rPr>
          <w:rFonts w:ascii="Cambria" w:hAnsi="Cambria"/>
        </w:rPr>
        <w:pict>
          <v:rect id="_x0000_i1025" o:spt="1" style="height:1.5pt;width:0pt;" fillcolor="#A0A0A0" filled="t" stroked="f" coordsize="21600,21600" o:hr="t" o:hrstd="t" o:hralign="center">
            <v:path/>
            <v:fill on="t" focussize="0,0"/>
            <v:stroke on="f"/>
            <v:imagedata o:title=""/>
            <o:lock v:ext="edit"/>
            <w10:wrap type="none"/>
            <w10:anchorlock/>
          </v:rect>
        </w:pict>
      </w:r>
    </w:p>
    <w:p w14:paraId="71F2ED57">
      <w:pPr>
        <w:ind w:firstLine="720"/>
        <w:jc w:val="both"/>
        <w:rPr>
          <w:rFonts w:ascii="Cambria" w:hAnsi="Cambria"/>
          <w:b/>
          <w:bCs/>
        </w:rPr>
      </w:pPr>
      <w:r>
        <w:rPr>
          <w:rFonts w:ascii="Cambria" w:hAnsi="Cambria"/>
          <w:b/>
          <w:bCs/>
        </w:rPr>
        <w:t>2. Current Status</w:t>
      </w:r>
    </w:p>
    <w:p w14:paraId="0F8826B5">
      <w:pPr>
        <w:ind w:firstLine="720"/>
        <w:jc w:val="both"/>
        <w:rPr>
          <w:rFonts w:ascii="Cambria" w:hAnsi="Cambria"/>
        </w:rPr>
      </w:pPr>
      <w:r>
        <w:rPr>
          <w:rFonts w:ascii="Cambria" w:hAnsi="Cambria"/>
        </w:rPr>
        <w:t>Under the existing arrangement, the State has successfully ensured regular preventive and corrective maintenance of biomedical equipment across health facilities, minimizing equipment downtime and optimizing asset utilization.</w:t>
      </w:r>
    </w:p>
    <w:p w14:paraId="7541AA38">
      <w:pPr>
        <w:ind w:firstLine="720"/>
        <w:jc w:val="both"/>
        <w:rPr>
          <w:rFonts w:ascii="Cambria" w:hAnsi="Cambria"/>
        </w:rPr>
      </w:pPr>
      <w:r>
        <w:rPr>
          <w:rFonts w:ascii="Cambria" w:hAnsi="Cambria"/>
        </w:rPr>
        <w:t>However, with the contract nearing completion, there is an urgent need to review and decide on a sustainable mechanism to continue the programme beyond May 2026. The State is currently analyzing various operational models to identify the most cost-effective and efficient option.</w:t>
      </w:r>
    </w:p>
    <w:p w14:paraId="732C1695">
      <w:pPr>
        <w:ind w:firstLine="720"/>
        <w:jc w:val="both"/>
        <w:rPr>
          <w:rFonts w:ascii="Cambria" w:hAnsi="Cambria"/>
        </w:rPr>
      </w:pPr>
      <w:r>
        <w:rPr>
          <w:rFonts w:ascii="Cambria" w:hAnsi="Cambria"/>
        </w:rPr>
        <w:pict>
          <v:rect id="_x0000_i1026" o:spt="1" style="height:1.5pt;width:0pt;" fillcolor="#A0A0A0" filled="t" stroked="f" coordsize="21600,21600" o:hr="t" o:hrstd="t" o:hralign="center">
            <v:path/>
            <v:fill on="t" focussize="0,0"/>
            <v:stroke on="f"/>
            <v:imagedata o:title=""/>
            <o:lock v:ext="edit"/>
            <w10:wrap type="none"/>
            <w10:anchorlock/>
          </v:rect>
        </w:pict>
      </w:r>
    </w:p>
    <w:p w14:paraId="7D6B5639">
      <w:pPr>
        <w:ind w:firstLine="720"/>
        <w:jc w:val="both"/>
        <w:rPr>
          <w:rFonts w:ascii="Cambria" w:hAnsi="Cambria"/>
          <w:b/>
          <w:bCs/>
        </w:rPr>
      </w:pPr>
      <w:r>
        <w:rPr>
          <w:rFonts w:ascii="Cambria" w:hAnsi="Cambria"/>
          <w:b/>
          <w:bCs/>
        </w:rPr>
        <w:t>3. Analysis of Options</w:t>
      </w:r>
    </w:p>
    <w:p w14:paraId="19D7D1E7">
      <w:pPr>
        <w:ind w:firstLine="720"/>
        <w:jc w:val="both"/>
        <w:rPr>
          <w:rFonts w:ascii="Cambria" w:hAnsi="Cambria"/>
        </w:rPr>
      </w:pPr>
      <w:r>
        <w:rPr>
          <w:rFonts w:ascii="Cambria" w:hAnsi="Cambria"/>
        </w:rPr>
        <w:t>A comparative analysis of three potential modes of implementation has been conducted: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1"/>
        <w:gridCol w:w="2702"/>
        <w:gridCol w:w="2635"/>
        <w:gridCol w:w="2874"/>
      </w:tblGrid>
      <w:tr w14:paraId="6F9A4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79C54E0">
            <w:pPr>
              <w:spacing w:after="160" w:line="278" w:lineRule="auto"/>
              <w:ind w:firstLine="720"/>
              <w:jc w:val="both"/>
              <w:rPr>
                <w:rFonts w:ascii="Cambria" w:hAnsi="Cambria"/>
                <w:b/>
                <w:bCs/>
              </w:rPr>
            </w:pPr>
            <w:r>
              <w:rPr>
                <w:rFonts w:ascii="Cambria" w:hAnsi="Cambria"/>
                <w:b/>
                <w:bCs/>
              </w:rPr>
              <w:t>Option</w:t>
            </w:r>
          </w:p>
        </w:tc>
        <w:tc>
          <w:tcPr>
            <w:tcW w:w="0" w:type="auto"/>
          </w:tcPr>
          <w:p w14:paraId="1370D392">
            <w:pPr>
              <w:spacing w:after="160" w:line="278" w:lineRule="auto"/>
              <w:ind w:firstLine="720"/>
              <w:jc w:val="both"/>
              <w:rPr>
                <w:rFonts w:ascii="Cambria" w:hAnsi="Cambria"/>
                <w:b/>
                <w:bCs/>
              </w:rPr>
            </w:pPr>
            <w:r>
              <w:rPr>
                <w:rFonts w:ascii="Cambria" w:hAnsi="Cambria"/>
                <w:b/>
                <w:bCs/>
              </w:rPr>
              <w:t>Description</w:t>
            </w:r>
          </w:p>
        </w:tc>
        <w:tc>
          <w:tcPr>
            <w:tcW w:w="0" w:type="auto"/>
          </w:tcPr>
          <w:p w14:paraId="6A71325F">
            <w:pPr>
              <w:spacing w:after="160" w:line="278" w:lineRule="auto"/>
              <w:ind w:firstLine="720"/>
              <w:jc w:val="both"/>
              <w:rPr>
                <w:rFonts w:ascii="Cambria" w:hAnsi="Cambria"/>
                <w:b/>
                <w:bCs/>
              </w:rPr>
            </w:pPr>
            <w:r>
              <w:rPr>
                <w:rFonts w:ascii="Cambria" w:hAnsi="Cambria"/>
                <w:b/>
                <w:bCs/>
              </w:rPr>
              <w:t>Advantages</w:t>
            </w:r>
          </w:p>
        </w:tc>
        <w:tc>
          <w:tcPr>
            <w:tcW w:w="0" w:type="auto"/>
          </w:tcPr>
          <w:p w14:paraId="13A65868">
            <w:pPr>
              <w:spacing w:after="160" w:line="278" w:lineRule="auto"/>
              <w:ind w:firstLine="720"/>
              <w:jc w:val="both"/>
              <w:rPr>
                <w:rFonts w:ascii="Cambria" w:hAnsi="Cambria"/>
                <w:b/>
                <w:bCs/>
              </w:rPr>
            </w:pPr>
            <w:r>
              <w:rPr>
                <w:rFonts w:ascii="Cambria" w:hAnsi="Cambria"/>
                <w:b/>
                <w:bCs/>
              </w:rPr>
              <w:t>Challenges / Limitations</w:t>
            </w:r>
          </w:p>
        </w:tc>
      </w:tr>
      <w:tr w14:paraId="2DBD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C504C72">
            <w:pPr>
              <w:spacing w:after="160" w:line="278" w:lineRule="auto"/>
              <w:rPr>
                <w:rFonts w:ascii="Cambria" w:hAnsi="Cambria"/>
              </w:rPr>
            </w:pPr>
            <w:r>
              <w:rPr>
                <w:rFonts w:ascii="Cambria" w:hAnsi="Cambria"/>
                <w:b/>
                <w:bCs/>
              </w:rPr>
              <w:t>1. In-house Mode</w:t>
            </w:r>
          </w:p>
        </w:tc>
        <w:tc>
          <w:tcPr>
            <w:tcW w:w="0" w:type="auto"/>
          </w:tcPr>
          <w:p w14:paraId="7F915E98">
            <w:pPr>
              <w:spacing w:after="160" w:line="278" w:lineRule="auto"/>
              <w:rPr>
                <w:rFonts w:ascii="Cambria" w:hAnsi="Cambria"/>
              </w:rPr>
            </w:pPr>
            <w:r>
              <w:rPr>
                <w:rFonts w:ascii="Cambria" w:hAnsi="Cambria"/>
              </w:rPr>
              <w:t>Maintenance managed directly by the State using its own manpower and resources.</w:t>
            </w:r>
          </w:p>
        </w:tc>
        <w:tc>
          <w:tcPr>
            <w:tcW w:w="0" w:type="auto"/>
          </w:tcPr>
          <w:p w14:paraId="06E6DB5E">
            <w:pPr>
              <w:spacing w:after="160" w:line="278" w:lineRule="auto"/>
              <w:rPr>
                <w:rFonts w:ascii="Cambria" w:hAnsi="Cambria"/>
              </w:rPr>
            </w:pPr>
            <w:r>
              <w:rPr>
                <w:rFonts w:ascii="Cambria" w:hAnsi="Cambria"/>
              </w:rPr>
              <w:t>Full control, immediate response possible.</w:t>
            </w:r>
          </w:p>
        </w:tc>
        <w:tc>
          <w:tcPr>
            <w:tcW w:w="0" w:type="auto"/>
          </w:tcPr>
          <w:p w14:paraId="617A5939">
            <w:pPr>
              <w:spacing w:after="160" w:line="278" w:lineRule="auto"/>
              <w:rPr>
                <w:rFonts w:ascii="Cambria" w:hAnsi="Cambria"/>
              </w:rPr>
            </w:pPr>
            <w:r>
              <w:rPr>
                <w:rFonts w:ascii="Cambria" w:hAnsi="Cambria"/>
              </w:rPr>
              <w:t>Requires high initial investment for tools, test equipment, and spare parts; need for skilled staff recruitment and training; recurring HR costs.</w:t>
            </w:r>
          </w:p>
        </w:tc>
      </w:tr>
      <w:tr w14:paraId="7C90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3E5919F">
            <w:pPr>
              <w:spacing w:after="160" w:line="278" w:lineRule="auto"/>
              <w:rPr>
                <w:rFonts w:ascii="Cambria" w:hAnsi="Cambria"/>
              </w:rPr>
            </w:pPr>
            <w:r>
              <w:rPr>
                <w:rFonts w:ascii="Cambria" w:hAnsi="Cambria"/>
                <w:b/>
                <w:bCs/>
              </w:rPr>
              <w:t>2. Hybrid Mode</w:t>
            </w:r>
          </w:p>
        </w:tc>
        <w:tc>
          <w:tcPr>
            <w:tcW w:w="0" w:type="auto"/>
          </w:tcPr>
          <w:p w14:paraId="79107858">
            <w:pPr>
              <w:spacing w:after="160" w:line="278" w:lineRule="auto"/>
              <w:rPr>
                <w:rFonts w:ascii="Cambria" w:hAnsi="Cambria"/>
              </w:rPr>
            </w:pPr>
            <w:r>
              <w:rPr>
                <w:rFonts w:ascii="Cambria" w:hAnsi="Cambria"/>
              </w:rPr>
              <w:t>Combination of in-house maintenance for minor repairs and outsourcing for specialized services.</w:t>
            </w:r>
          </w:p>
        </w:tc>
        <w:tc>
          <w:tcPr>
            <w:tcW w:w="0" w:type="auto"/>
          </w:tcPr>
          <w:p w14:paraId="07E5C447">
            <w:pPr>
              <w:spacing w:after="160" w:line="278" w:lineRule="auto"/>
              <w:rPr>
                <w:rFonts w:ascii="Cambria" w:hAnsi="Cambria"/>
              </w:rPr>
            </w:pPr>
            <w:r>
              <w:rPr>
                <w:rFonts w:ascii="Cambria" w:hAnsi="Cambria"/>
              </w:rPr>
              <w:t>Some degree of flexibility and control.</w:t>
            </w:r>
          </w:p>
        </w:tc>
        <w:tc>
          <w:tcPr>
            <w:tcW w:w="0" w:type="auto"/>
          </w:tcPr>
          <w:p w14:paraId="14A79876">
            <w:pPr>
              <w:spacing w:after="160" w:line="278" w:lineRule="auto"/>
              <w:rPr>
                <w:rFonts w:ascii="Cambria" w:hAnsi="Cambria"/>
              </w:rPr>
            </w:pPr>
            <w:r>
              <w:rPr>
                <w:rFonts w:ascii="Cambria" w:hAnsi="Cambria"/>
              </w:rPr>
              <w:t>Still requires significant upfront investment; complex coordination between multiple entities; management and accountability issues.</w:t>
            </w:r>
          </w:p>
        </w:tc>
      </w:tr>
      <w:tr w14:paraId="49C11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116A3CE">
            <w:pPr>
              <w:spacing w:after="160" w:line="278" w:lineRule="auto"/>
              <w:rPr>
                <w:rFonts w:ascii="Cambria" w:hAnsi="Cambria"/>
              </w:rPr>
            </w:pPr>
            <w:r>
              <w:rPr>
                <w:rFonts w:ascii="Cambria" w:hAnsi="Cambria"/>
                <w:b/>
                <w:bCs/>
              </w:rPr>
              <w:t>3. PPP Mode (Existing)</w:t>
            </w:r>
          </w:p>
        </w:tc>
        <w:tc>
          <w:tcPr>
            <w:tcW w:w="0" w:type="auto"/>
          </w:tcPr>
          <w:p w14:paraId="6C96FFB5">
            <w:pPr>
              <w:spacing w:after="160" w:line="278" w:lineRule="auto"/>
              <w:rPr>
                <w:rFonts w:ascii="Cambria" w:hAnsi="Cambria"/>
              </w:rPr>
            </w:pPr>
            <w:r>
              <w:rPr>
                <w:rFonts w:ascii="Cambria" w:hAnsi="Cambria"/>
              </w:rPr>
              <w:t>Comprehensive maintenance outsourced to a private service provider under contract.</w:t>
            </w:r>
          </w:p>
        </w:tc>
        <w:tc>
          <w:tcPr>
            <w:tcW w:w="0" w:type="auto"/>
          </w:tcPr>
          <w:p w14:paraId="77DCB5D7">
            <w:pPr>
              <w:spacing w:after="160" w:line="278" w:lineRule="auto"/>
              <w:rPr>
                <w:rFonts w:ascii="Cambria" w:hAnsi="Cambria"/>
              </w:rPr>
            </w:pPr>
            <w:r>
              <w:rPr>
                <w:rFonts w:ascii="Cambria" w:hAnsi="Cambria"/>
              </w:rPr>
              <w:t>Cost-effective, minimal upfront investment, ensures technical expertise and accountability.</w:t>
            </w:r>
          </w:p>
        </w:tc>
        <w:tc>
          <w:tcPr>
            <w:tcW w:w="0" w:type="auto"/>
          </w:tcPr>
          <w:p w14:paraId="6938F94E">
            <w:pPr>
              <w:spacing w:after="160" w:line="278" w:lineRule="auto"/>
              <w:rPr>
                <w:rFonts w:ascii="Cambria" w:hAnsi="Cambria"/>
              </w:rPr>
            </w:pPr>
            <w:r>
              <w:rPr>
                <w:rFonts w:ascii="Cambria" w:hAnsi="Cambria"/>
              </w:rPr>
              <w:t>Dependent on timely contract management and monitoring by the State.</w:t>
            </w:r>
          </w:p>
        </w:tc>
      </w:tr>
    </w:tbl>
    <w:p w14:paraId="10937EC6">
      <w:pPr>
        <w:ind w:firstLine="720"/>
        <w:jc w:val="both"/>
        <w:rPr>
          <w:rFonts w:ascii="Cambria" w:hAnsi="Cambria"/>
        </w:rPr>
      </w:pPr>
      <w:r>
        <w:rPr>
          <w:rFonts w:ascii="Cambria" w:hAnsi="Cambria"/>
        </w:rPr>
        <w:t>Based on this analysis, the PPP mode remains the most viable and cost-effective option for Mizoram, given the State’s financial and human resource constraints.</w:t>
      </w:r>
    </w:p>
    <w:p w14:paraId="05733C0A">
      <w:pPr>
        <w:ind w:firstLine="720"/>
        <w:jc w:val="both"/>
        <w:rPr>
          <w:rFonts w:ascii="Cambria" w:hAnsi="Cambria"/>
        </w:rPr>
      </w:pPr>
      <w:r>
        <w:rPr>
          <w:rFonts w:ascii="Cambria" w:hAnsi="Cambria"/>
        </w:rPr>
        <w:pict>
          <v:rect id="_x0000_i1027" o:spt="1" style="height:1.5pt;width:0pt;" fillcolor="#A0A0A0" filled="t" stroked="f" coordsize="21600,21600" o:hr="t" o:hrstd="t" o:hralign="center">
            <v:path/>
            <v:fill on="t" focussize="0,0"/>
            <v:stroke on="f"/>
            <v:imagedata o:title=""/>
            <o:lock v:ext="edit"/>
            <w10:wrap type="none"/>
            <w10:anchorlock/>
          </v:rect>
        </w:pict>
      </w:r>
    </w:p>
    <w:p w14:paraId="30D2F166">
      <w:pPr>
        <w:ind w:firstLine="720"/>
        <w:jc w:val="both"/>
        <w:rPr>
          <w:rFonts w:ascii="Cambria" w:hAnsi="Cambria"/>
          <w:b/>
          <w:bCs/>
        </w:rPr>
      </w:pPr>
      <w:r>
        <w:rPr>
          <w:rFonts w:ascii="Cambria" w:hAnsi="Cambria"/>
          <w:b/>
          <w:bCs/>
        </w:rPr>
        <w:t>4. Justification</w:t>
      </w:r>
    </w:p>
    <w:p w14:paraId="27839E83">
      <w:pPr>
        <w:numPr>
          <w:ilvl w:val="0"/>
          <w:numId w:val="1"/>
        </w:numPr>
        <w:jc w:val="both"/>
        <w:rPr>
          <w:rFonts w:ascii="Cambria" w:hAnsi="Cambria"/>
        </w:rPr>
      </w:pPr>
      <w:r>
        <w:rPr>
          <w:rFonts w:ascii="Cambria" w:hAnsi="Cambria"/>
        </w:rPr>
        <w:t xml:space="preserve">The State faces </w:t>
      </w:r>
      <w:r>
        <w:rPr>
          <w:rFonts w:ascii="Cambria" w:hAnsi="Cambria"/>
          <w:b/>
          <w:bCs/>
        </w:rPr>
        <w:t>limited financial resources</w:t>
      </w:r>
      <w:r>
        <w:rPr>
          <w:rFonts w:ascii="Cambria" w:hAnsi="Cambria"/>
        </w:rPr>
        <w:t xml:space="preserve"> to invest in establishing an in-house or hybrid model.</w:t>
      </w:r>
    </w:p>
    <w:p w14:paraId="7F64D3DD">
      <w:pPr>
        <w:numPr>
          <w:ilvl w:val="0"/>
          <w:numId w:val="1"/>
        </w:numPr>
        <w:jc w:val="both"/>
        <w:rPr>
          <w:rFonts w:ascii="Cambria" w:hAnsi="Cambria"/>
        </w:rPr>
      </w:pPr>
      <w:r>
        <w:rPr>
          <w:rFonts w:ascii="Cambria" w:hAnsi="Cambria"/>
        </w:rPr>
        <w:t xml:space="preserve">Transitioning to a new model would require </w:t>
      </w:r>
      <w:r>
        <w:rPr>
          <w:rFonts w:ascii="Cambria" w:hAnsi="Cambria"/>
          <w:b/>
          <w:bCs/>
        </w:rPr>
        <w:t>significant upfront capital</w:t>
      </w:r>
      <w:r>
        <w:rPr>
          <w:rFonts w:ascii="Cambria" w:hAnsi="Cambria"/>
        </w:rPr>
        <w:t>, including purchase of tools, spare parts, software, and recruitment of skilled engineers and technicians.</w:t>
      </w:r>
    </w:p>
    <w:p w14:paraId="5A20C20A">
      <w:pPr>
        <w:numPr>
          <w:ilvl w:val="0"/>
          <w:numId w:val="1"/>
        </w:numPr>
        <w:jc w:val="both"/>
        <w:rPr>
          <w:rFonts w:ascii="Cambria" w:hAnsi="Cambria"/>
        </w:rPr>
      </w:pPr>
      <w:r>
        <w:rPr>
          <w:rFonts w:ascii="Cambria" w:hAnsi="Cambria"/>
        </w:rPr>
        <w:t xml:space="preserve">Retention of qualified biomedical engineers in remote locations continues to be a </w:t>
      </w:r>
      <w:r>
        <w:rPr>
          <w:rFonts w:ascii="Cambria" w:hAnsi="Cambria"/>
          <w:b/>
          <w:bCs/>
        </w:rPr>
        <w:t>major challenge</w:t>
      </w:r>
      <w:r>
        <w:rPr>
          <w:rFonts w:ascii="Cambria" w:hAnsi="Cambria"/>
        </w:rPr>
        <w:t>.</w:t>
      </w:r>
    </w:p>
    <w:p w14:paraId="35C0E41B">
      <w:pPr>
        <w:numPr>
          <w:ilvl w:val="0"/>
          <w:numId w:val="1"/>
        </w:numPr>
        <w:jc w:val="both"/>
        <w:rPr>
          <w:rFonts w:ascii="Cambria" w:hAnsi="Cambria"/>
        </w:rPr>
      </w:pPr>
      <w:r>
        <w:rPr>
          <w:rFonts w:ascii="Cambria" w:hAnsi="Cambria"/>
        </w:rPr>
        <w:t>The PPP model has already proven effective in ensuring functionality of critical medical equipment, thus maintaining continuity of healthcare delivery.</w:t>
      </w:r>
    </w:p>
    <w:p w14:paraId="43FBBDEB">
      <w:pPr>
        <w:numPr>
          <w:ilvl w:val="0"/>
          <w:numId w:val="1"/>
        </w:numPr>
        <w:jc w:val="both"/>
        <w:rPr>
          <w:rFonts w:ascii="Cambria" w:hAnsi="Cambria"/>
        </w:rPr>
      </w:pPr>
      <w:r>
        <w:rPr>
          <w:rFonts w:ascii="Cambria" w:hAnsi="Cambria"/>
        </w:rPr>
        <w:t xml:space="preserve">Continuation under the PPP mode will allow for </w:t>
      </w:r>
      <w:r>
        <w:rPr>
          <w:rFonts w:ascii="Cambria" w:hAnsi="Cambria"/>
          <w:b/>
          <w:bCs/>
        </w:rPr>
        <w:t>seamless transition</w:t>
      </w:r>
      <w:r>
        <w:rPr>
          <w:rFonts w:ascii="Cambria" w:hAnsi="Cambria"/>
        </w:rPr>
        <w:t xml:space="preserve"> after May 2026 without disruption to health services.</w:t>
      </w:r>
    </w:p>
    <w:p w14:paraId="2BB1BF9B">
      <w:pPr>
        <w:ind w:firstLine="720"/>
        <w:jc w:val="both"/>
        <w:rPr>
          <w:rFonts w:ascii="Cambria" w:hAnsi="Cambria"/>
        </w:rPr>
      </w:pPr>
      <w:r>
        <w:rPr>
          <w:rFonts w:ascii="Cambria" w:hAnsi="Cambria"/>
        </w:rPr>
        <w:pict>
          <v:rect id="_x0000_i1028" o:spt="1" style="height:1.5pt;width:0pt;" fillcolor="#A0A0A0" filled="t" stroked="f" coordsize="21600,21600" o:hr="t" o:hrstd="t" o:hralign="center">
            <v:path/>
            <v:fill on="t" focussize="0,0"/>
            <v:stroke on="f"/>
            <v:imagedata o:title=""/>
            <o:lock v:ext="edit"/>
            <w10:wrap type="none"/>
            <w10:anchorlock/>
          </v:rect>
        </w:pict>
      </w:r>
    </w:p>
    <w:p w14:paraId="5D1071FA">
      <w:pPr>
        <w:ind w:firstLine="720"/>
        <w:jc w:val="both"/>
        <w:rPr>
          <w:rFonts w:ascii="Cambria" w:hAnsi="Cambria"/>
          <w:b/>
          <w:bCs/>
        </w:rPr>
      </w:pPr>
      <w:r>
        <w:rPr>
          <w:rFonts w:ascii="Cambria" w:hAnsi="Cambria"/>
          <w:b/>
          <w:bCs/>
        </w:rPr>
        <w:t>5. Proposed Plan</w:t>
      </w:r>
    </w:p>
    <w:p w14:paraId="5AF16766">
      <w:pPr>
        <w:ind w:firstLine="720"/>
        <w:jc w:val="both"/>
        <w:rPr>
          <w:rFonts w:ascii="Cambria" w:hAnsi="Cambria"/>
        </w:rPr>
      </w:pPr>
      <w:r>
        <w:rPr>
          <w:rFonts w:ascii="Cambria" w:hAnsi="Cambria"/>
        </w:rPr>
        <w:t>The State proposes the following actions to ensure continuity and improvement of the Biomedical Equipment Maintenance Programme:</w:t>
      </w:r>
    </w:p>
    <w:p w14:paraId="7A189D40">
      <w:pPr>
        <w:numPr>
          <w:ilvl w:val="0"/>
          <w:numId w:val="2"/>
        </w:numPr>
        <w:jc w:val="both"/>
        <w:rPr>
          <w:rFonts w:ascii="Cambria" w:hAnsi="Cambria"/>
        </w:rPr>
      </w:pPr>
      <w:r>
        <w:rPr>
          <w:rFonts w:ascii="Cambria" w:hAnsi="Cambria"/>
          <w:b/>
          <w:bCs/>
        </w:rPr>
        <w:t>Continuation of the programme under PPP mode</w:t>
      </w:r>
      <w:r>
        <w:rPr>
          <w:rFonts w:ascii="Cambria" w:hAnsi="Cambria"/>
        </w:rPr>
        <w:t xml:space="preserve"> beyond May 2026.</w:t>
      </w:r>
    </w:p>
    <w:p w14:paraId="1D55A15B">
      <w:pPr>
        <w:numPr>
          <w:ilvl w:val="0"/>
          <w:numId w:val="2"/>
        </w:numPr>
        <w:jc w:val="both"/>
        <w:rPr>
          <w:rFonts w:ascii="Cambria" w:hAnsi="Cambria"/>
        </w:rPr>
      </w:pPr>
      <w:r>
        <w:rPr>
          <w:rFonts w:ascii="Cambria" w:hAnsi="Cambria"/>
          <w:b/>
          <w:bCs/>
        </w:rPr>
        <w:t>Floating of a new tender</w:t>
      </w:r>
      <w:r>
        <w:rPr>
          <w:rFonts w:ascii="Cambria" w:hAnsi="Cambria"/>
        </w:rPr>
        <w:t xml:space="preserve"> for selection of a qualified and experienced service provider.</w:t>
      </w:r>
    </w:p>
    <w:p w14:paraId="791BD255">
      <w:pPr>
        <w:numPr>
          <w:ilvl w:val="0"/>
          <w:numId w:val="2"/>
        </w:numPr>
        <w:jc w:val="both"/>
        <w:rPr>
          <w:rFonts w:ascii="Cambria" w:hAnsi="Cambria"/>
        </w:rPr>
      </w:pPr>
      <w:r>
        <w:rPr>
          <w:rFonts w:ascii="Cambria" w:hAnsi="Cambria"/>
          <w:b/>
          <w:bCs/>
        </w:rPr>
        <w:t>Re-mapping of all biomedical equipment</w:t>
      </w:r>
      <w:r>
        <w:rPr>
          <w:rFonts w:ascii="Cambria" w:hAnsi="Cambria"/>
        </w:rPr>
        <w:t xml:space="preserve"> across health facilities to update the asset inventory.</w:t>
      </w:r>
    </w:p>
    <w:p w14:paraId="3B610283">
      <w:pPr>
        <w:numPr>
          <w:ilvl w:val="0"/>
          <w:numId w:val="2"/>
        </w:numPr>
        <w:jc w:val="both"/>
        <w:rPr>
          <w:rFonts w:ascii="Cambria" w:hAnsi="Cambria"/>
        </w:rPr>
      </w:pPr>
      <w:r>
        <w:rPr>
          <w:rFonts w:ascii="Cambria" w:hAnsi="Cambria"/>
          <w:b/>
          <w:bCs/>
        </w:rPr>
        <w:t>Creation and maintenance of a digital equipment inventory</w:t>
      </w:r>
      <w:r>
        <w:rPr>
          <w:rFonts w:ascii="Cambria" w:hAnsi="Cambria"/>
        </w:rPr>
        <w:t xml:space="preserve"> at each facility for transparency and ease of monitoring.</w:t>
      </w:r>
    </w:p>
    <w:p w14:paraId="13AA2A58">
      <w:pPr>
        <w:numPr>
          <w:ilvl w:val="0"/>
          <w:numId w:val="2"/>
        </w:numPr>
        <w:jc w:val="both"/>
        <w:rPr>
          <w:rFonts w:ascii="Cambria" w:hAnsi="Cambria"/>
        </w:rPr>
      </w:pPr>
      <w:r>
        <w:rPr>
          <w:rFonts w:ascii="Cambria" w:hAnsi="Cambria"/>
          <w:b/>
          <w:bCs/>
        </w:rPr>
        <w:t>Strengthening of the reporting and monitoring mechanism</w:t>
      </w:r>
      <w:r>
        <w:rPr>
          <w:rFonts w:ascii="Cambria" w:hAnsi="Cambria"/>
        </w:rPr>
        <w:t xml:space="preserve"> through regular performance evaluation and feedback systems.</w:t>
      </w:r>
    </w:p>
    <w:p w14:paraId="022721C7">
      <w:pPr>
        <w:numPr>
          <w:ilvl w:val="0"/>
          <w:numId w:val="2"/>
        </w:numPr>
        <w:jc w:val="both"/>
        <w:rPr>
          <w:rFonts w:ascii="Cambria" w:hAnsi="Cambria"/>
        </w:rPr>
      </w:pPr>
      <w:r>
        <w:rPr>
          <w:rFonts w:ascii="Cambria" w:hAnsi="Cambria"/>
          <w:b/>
          <w:bCs/>
        </w:rPr>
        <w:t>Capacity building</w:t>
      </w:r>
      <w:r>
        <w:rPr>
          <w:rFonts w:ascii="Cambria" w:hAnsi="Cambria"/>
        </w:rPr>
        <w:t xml:space="preserve"> of biomedical engineers and hospital staff to ensure coordination with the service provider and effective oversight.</w:t>
      </w:r>
    </w:p>
    <w:p w14:paraId="0A0AB124">
      <w:pPr>
        <w:ind w:left="720"/>
        <w:jc w:val="both"/>
        <w:rPr>
          <w:rFonts w:ascii="Cambria" w:hAnsi="Cambria"/>
        </w:rPr>
      </w:pPr>
    </w:p>
    <w:p w14:paraId="5641D9DF">
      <w:pPr>
        <w:jc w:val="both"/>
        <w:rPr>
          <w:rFonts w:ascii="Cambria" w:hAnsi="Cambria"/>
        </w:rPr>
      </w:pPr>
      <w:r>
        <w:rPr>
          <w:rFonts w:ascii="Cambria" w:hAnsi="Cambria"/>
        </w:rPr>
        <w:t xml:space="preserve">      </w:t>
      </w:r>
    </w:p>
    <w:p w14:paraId="32477E6D">
      <w:pPr>
        <w:ind w:firstLine="720"/>
        <w:jc w:val="both"/>
        <w:rPr>
          <w:rFonts w:ascii="Cambria" w:hAnsi="Cambria"/>
        </w:rPr>
      </w:pPr>
      <w:r>
        <w:rPr>
          <w:rFonts w:ascii="Cambria" w:hAnsi="Cambria"/>
        </w:rPr>
        <w:pict>
          <v:rect id="_x0000_i1029" o:spt="1" style="height:1.5pt;width:0pt;" fillcolor="#A0A0A0" filled="t" stroked="f" coordsize="21600,21600" o:hr="t" o:hrstd="t" o:hralign="center">
            <v:path/>
            <v:fill on="t" focussize="0,0"/>
            <v:stroke on="f"/>
            <v:imagedata o:title=""/>
            <o:lock v:ext="edit"/>
            <w10:wrap type="none"/>
            <w10:anchorlock/>
          </v:rect>
        </w:pict>
      </w:r>
    </w:p>
    <w:p w14:paraId="7BC9D8BD">
      <w:pPr>
        <w:ind w:firstLine="720"/>
        <w:jc w:val="both"/>
        <w:rPr>
          <w:rFonts w:ascii="Cambria" w:hAnsi="Cambria"/>
          <w:b/>
          <w:bCs/>
        </w:rPr>
      </w:pPr>
      <w:r>
        <w:rPr>
          <w:rFonts w:ascii="Cambria" w:hAnsi="Cambria"/>
          <w:b/>
          <w:bCs/>
        </w:rPr>
        <w:t>6. Expected Outcomes</w:t>
      </w:r>
    </w:p>
    <w:p w14:paraId="098CC3E6">
      <w:pPr>
        <w:numPr>
          <w:ilvl w:val="0"/>
          <w:numId w:val="3"/>
        </w:numPr>
        <w:jc w:val="both"/>
        <w:rPr>
          <w:rFonts w:ascii="Cambria" w:hAnsi="Cambria"/>
        </w:rPr>
      </w:pPr>
      <w:r>
        <w:rPr>
          <w:rFonts w:ascii="Cambria" w:hAnsi="Cambria"/>
        </w:rPr>
        <w:t>Ensured functionality of biomedical equipment across all facilities.</w:t>
      </w:r>
    </w:p>
    <w:p w14:paraId="7843FE22">
      <w:pPr>
        <w:numPr>
          <w:ilvl w:val="0"/>
          <w:numId w:val="3"/>
        </w:numPr>
        <w:jc w:val="both"/>
        <w:rPr>
          <w:rFonts w:ascii="Cambria" w:hAnsi="Cambria"/>
        </w:rPr>
      </w:pPr>
      <w:r>
        <w:rPr>
          <w:rFonts w:ascii="Cambria" w:hAnsi="Cambria"/>
        </w:rPr>
        <w:t>Reduced equipment downtime and improved service delivery.</w:t>
      </w:r>
    </w:p>
    <w:p w14:paraId="6379454D">
      <w:pPr>
        <w:numPr>
          <w:ilvl w:val="0"/>
          <w:numId w:val="3"/>
        </w:numPr>
        <w:jc w:val="both"/>
        <w:rPr>
          <w:rFonts w:ascii="Cambria" w:hAnsi="Cambria"/>
        </w:rPr>
      </w:pPr>
      <w:r>
        <w:rPr>
          <w:rFonts w:ascii="Cambria" w:hAnsi="Cambria"/>
        </w:rPr>
        <w:t>Extended lifespan of medical equipment through timely preventive maintenance.</w:t>
      </w:r>
    </w:p>
    <w:p w14:paraId="3E648AFE">
      <w:pPr>
        <w:numPr>
          <w:ilvl w:val="0"/>
          <w:numId w:val="3"/>
        </w:numPr>
        <w:jc w:val="both"/>
        <w:rPr>
          <w:rFonts w:ascii="Cambria" w:hAnsi="Cambria"/>
        </w:rPr>
      </w:pPr>
      <w:r>
        <w:rPr>
          <w:rFonts w:ascii="Cambria" w:hAnsi="Cambria"/>
        </w:rPr>
        <w:t>Improved patient care and safety through reliable equipment performance.</w:t>
      </w:r>
    </w:p>
    <w:p w14:paraId="3234FAF4">
      <w:pPr>
        <w:numPr>
          <w:ilvl w:val="0"/>
          <w:numId w:val="3"/>
        </w:numPr>
        <w:jc w:val="both"/>
        <w:rPr>
          <w:rFonts w:ascii="Cambria" w:hAnsi="Cambria"/>
        </w:rPr>
      </w:pPr>
      <w:r>
        <w:rPr>
          <w:rFonts w:ascii="Cambria" w:hAnsi="Cambria"/>
        </w:rPr>
        <w:t>Strengthened asset management and accountability across all levels.</w:t>
      </w:r>
    </w:p>
    <w:p w14:paraId="358C43D3">
      <w:pPr>
        <w:ind w:firstLine="720"/>
        <w:jc w:val="both"/>
        <w:rPr>
          <w:rFonts w:ascii="Cambria" w:hAnsi="Cambria"/>
        </w:rPr>
      </w:pPr>
      <w:r>
        <w:rPr>
          <w:rFonts w:ascii="Cambria" w:hAnsi="Cambria"/>
        </w:rPr>
        <w:pict>
          <v:rect id="_x0000_i1030" o:spt="1" style="height:1.5pt;width:0pt;" fillcolor="#A0A0A0" filled="t" stroked="f" coordsize="21600,21600" o:hr="t" o:hrstd="t" o:hralign="center">
            <v:path/>
            <v:fill on="t" focussize="0,0"/>
            <v:stroke on="f"/>
            <v:imagedata o:title=""/>
            <o:lock v:ext="edit"/>
            <w10:wrap type="none"/>
            <w10:anchorlock/>
          </v:rect>
        </w:pict>
      </w:r>
    </w:p>
    <w:p w14:paraId="6112BFAE">
      <w:pPr>
        <w:ind w:firstLine="720"/>
        <w:jc w:val="both"/>
        <w:rPr>
          <w:rFonts w:ascii="Cambria" w:hAnsi="Cambria"/>
          <w:b/>
          <w:bCs/>
        </w:rPr>
      </w:pPr>
      <w:r>
        <w:rPr>
          <w:rFonts w:ascii="Cambria" w:hAnsi="Cambria"/>
          <w:b/>
          <w:bCs/>
        </w:rPr>
        <w:t>7. Financial Implication</w:t>
      </w:r>
    </w:p>
    <w:p w14:paraId="275061BC">
      <w:pPr>
        <w:ind w:firstLine="720"/>
        <w:jc w:val="both"/>
        <w:rPr>
          <w:rFonts w:ascii="Cambria" w:hAnsi="Cambria"/>
        </w:rPr>
      </w:pPr>
      <w:r>
        <w:rPr>
          <w:rFonts w:ascii="Cambria" w:hAnsi="Cambria"/>
        </w:rPr>
        <w:t xml:space="preserve">The exact financial requirement will depend on the outcome of the upcoming tender process and asset re-mapping. However, the State anticipates maintaining a similar expenditure level (approximately </w:t>
      </w:r>
      <w:r>
        <w:rPr>
          <w:rFonts w:ascii="Cambria" w:hAnsi="Cambria"/>
          <w:b/>
          <w:bCs/>
        </w:rPr>
        <w:t>9-10% of asset value</w:t>
      </w:r>
      <w:r>
        <w:rPr>
          <w:rFonts w:ascii="Cambria" w:hAnsi="Cambria"/>
        </w:rPr>
        <w:t>) under the renewed PPP contract, subject to financial approval.</w:t>
      </w:r>
    </w:p>
    <w:p w14:paraId="51C235DF">
      <w:pPr>
        <w:ind w:firstLine="720"/>
        <w:jc w:val="both"/>
        <w:rPr>
          <w:rFonts w:ascii="Cambria" w:hAnsi="Cambria"/>
        </w:rPr>
      </w:pPr>
      <w:r>
        <w:rPr>
          <w:rFonts w:ascii="Cambria" w:hAnsi="Cambria"/>
        </w:rPr>
        <w:pict>
          <v:rect id="_x0000_i1031" o:spt="1" style="height:1.5pt;width:0pt;" fillcolor="#A0A0A0" filled="t" stroked="f" coordsize="21600,21600" o:hr="t" o:hrstd="t" o:hralign="center">
            <v:path/>
            <v:fill on="t" focussize="0,0"/>
            <v:stroke on="f"/>
            <v:imagedata o:title=""/>
            <o:lock v:ext="edit"/>
            <w10:wrap type="none"/>
            <w10:anchorlock/>
          </v:rect>
        </w:pict>
      </w:r>
    </w:p>
    <w:p w14:paraId="22999E48">
      <w:pPr>
        <w:ind w:firstLine="720"/>
        <w:jc w:val="both"/>
        <w:rPr>
          <w:rFonts w:ascii="Cambria" w:hAnsi="Cambria"/>
          <w:b/>
          <w:bCs/>
        </w:rPr>
      </w:pPr>
      <w:r>
        <w:rPr>
          <w:rFonts w:ascii="Cambria" w:hAnsi="Cambria"/>
          <w:b/>
          <w:bCs/>
        </w:rPr>
        <w:t>8. Conclusion</w:t>
      </w:r>
    </w:p>
    <w:p w14:paraId="7A59E3B4">
      <w:pPr>
        <w:ind w:firstLine="720"/>
        <w:jc w:val="both"/>
        <w:rPr>
          <w:rFonts w:ascii="Cambria" w:hAnsi="Cambria"/>
        </w:rPr>
      </w:pPr>
      <w:r>
        <w:rPr>
          <w:rFonts w:ascii="Cambria" w:hAnsi="Cambria"/>
        </w:rPr>
        <w:t xml:space="preserve">The Biomedical Equipment Maintenance Programme has played a crucial role in improving the reliability and functionality of healthcare infrastructure in Mizoram. Considering the State’s financial limitations, shortage of skilled manpower, and proven success of the PPP model, it is proposed that the programme be </w:t>
      </w:r>
      <w:r>
        <w:rPr>
          <w:rFonts w:ascii="Cambria" w:hAnsi="Cambria"/>
          <w:b/>
          <w:bCs/>
        </w:rPr>
        <w:t>continued under the PPP mode</w:t>
      </w:r>
      <w:r>
        <w:rPr>
          <w:rFonts w:ascii="Cambria" w:hAnsi="Cambria"/>
        </w:rPr>
        <w:t xml:space="preserve"> beyond May 2026 with enhanced monitoring, accountability, and inventory management mechanisms. </w:t>
      </w:r>
    </w:p>
    <w:p w14:paraId="65816F64">
      <w:pPr>
        <w:ind w:firstLine="720"/>
        <w:jc w:val="both"/>
        <w:rPr>
          <w:rFonts w:ascii="Cambria" w:hAnsi="Cambria"/>
        </w:rPr>
      </w:pPr>
      <w:r>
        <w:rPr>
          <w:rFonts w:ascii="Cambria" w:hAnsi="Cambria"/>
        </w:rPr>
        <w:t>The State seeks approval and provision of necessary funds to facilitate the continuation of this essential programme.</w:t>
      </w:r>
    </w:p>
    <w:p w14:paraId="40D55BF5">
      <w:pPr>
        <w:ind w:firstLine="720"/>
        <w:jc w:val="both"/>
        <w:rPr>
          <w:rFonts w:ascii="Cambria" w:hAnsi="Cambria"/>
          <w:lang w:val="en-US"/>
        </w:rPr>
      </w:pPr>
      <w:r>
        <w:rPr>
          <w:rFonts w:ascii="Cambria" w:hAnsi="Cambria"/>
          <w:lang w:val="en-US"/>
        </w:rPr>
        <w:t xml:space="preserve">Therefore proposal is made as per the existing rate of equipment maintenance and the total amount proposed is </w:t>
      </w:r>
      <w:r>
        <w:rPr>
          <w:rFonts w:ascii="Cambria" w:hAnsi="Cambria"/>
          <w:b/>
          <w:bCs/>
          <w:lang w:val="en-US"/>
        </w:rPr>
        <w:t xml:space="preserve">Rs. </w:t>
      </w:r>
      <w:r>
        <w:rPr>
          <w:rFonts w:ascii="Cambria" w:hAnsi="Cambria" w:cs="Calibri"/>
          <w:b/>
          <w:bCs/>
          <w:color w:val="000000"/>
          <w:sz w:val="22"/>
          <w:szCs w:val="22"/>
        </w:rPr>
        <w:t xml:space="preserve">924.23 </w:t>
      </w:r>
      <w:r>
        <w:rPr>
          <w:rFonts w:ascii="Cambria" w:hAnsi="Cambria"/>
          <w:b/>
          <w:bCs/>
          <w:lang w:val="en-US"/>
        </w:rPr>
        <w:t>lakhs</w:t>
      </w:r>
    </w:p>
    <w:p w14:paraId="5C514189">
      <w:pPr>
        <w:ind w:firstLine="720"/>
        <w:jc w:val="both"/>
        <w:rPr>
          <w:rFonts w:ascii="Cambria" w:hAnsi="Cambria"/>
          <w:b/>
          <w:bCs/>
          <w:lang w:val="en-US"/>
        </w:rPr>
      </w:pPr>
    </w:p>
    <w:p w14:paraId="049B6BE7">
      <w:pPr>
        <w:ind w:firstLine="720"/>
        <w:jc w:val="both"/>
        <w:rPr>
          <w:rFonts w:ascii="Cambria" w:hAnsi="Cambria"/>
          <w:b/>
          <w:bCs/>
          <w:lang w:val="en-US"/>
        </w:rPr>
      </w:pPr>
      <w:r>
        <w:rPr>
          <w:rFonts w:ascii="Cambria" w:hAnsi="Cambria"/>
          <w:b/>
          <w:bCs/>
          <w:lang w:val="en-US"/>
        </w:rPr>
        <w:t>Equipment profile and proposal</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2"/>
        <w:gridCol w:w="3402"/>
      </w:tblGrid>
      <w:tr w14:paraId="3101F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tcPr>
          <w:p w14:paraId="613A2DF2">
            <w:pPr>
              <w:spacing w:after="0" w:line="240" w:lineRule="auto"/>
              <w:jc w:val="both"/>
              <w:rPr>
                <w:rFonts w:ascii="Cambria" w:hAnsi="Cambria"/>
                <w:lang w:val="en-US"/>
              </w:rPr>
            </w:pPr>
            <w:r>
              <w:rPr>
                <w:rFonts w:ascii="Cambria" w:hAnsi="Cambria"/>
                <w:lang w:val="en-US"/>
              </w:rPr>
              <w:t>No of equipment</w:t>
            </w:r>
          </w:p>
        </w:tc>
        <w:tc>
          <w:tcPr>
            <w:tcW w:w="3402" w:type="dxa"/>
          </w:tcPr>
          <w:p w14:paraId="1001824C">
            <w:pPr>
              <w:spacing w:after="0" w:line="240" w:lineRule="auto"/>
              <w:jc w:val="right"/>
              <w:rPr>
                <w:rFonts w:ascii="Cambria" w:hAnsi="Cambria"/>
                <w:lang w:val="en-US"/>
              </w:rPr>
            </w:pPr>
            <w:r>
              <w:rPr>
                <w:rFonts w:ascii="Cambria" w:hAnsi="Cambria"/>
                <w:lang w:val="en-US"/>
              </w:rPr>
              <w:t>6205</w:t>
            </w:r>
          </w:p>
        </w:tc>
      </w:tr>
      <w:tr w14:paraId="7535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tcPr>
          <w:p w14:paraId="33F69499">
            <w:pPr>
              <w:spacing w:after="0" w:line="240" w:lineRule="auto"/>
              <w:jc w:val="both"/>
              <w:rPr>
                <w:rFonts w:ascii="Cambria" w:hAnsi="Cambria"/>
                <w:lang w:val="en-US"/>
              </w:rPr>
            </w:pPr>
            <w:r>
              <w:rPr>
                <w:rFonts w:ascii="Cambria" w:hAnsi="Cambria"/>
                <w:lang w:val="en-US"/>
              </w:rPr>
              <w:t>Asset value</w:t>
            </w:r>
          </w:p>
        </w:tc>
        <w:tc>
          <w:tcPr>
            <w:tcW w:w="3402" w:type="dxa"/>
          </w:tcPr>
          <w:p w14:paraId="15AF7818">
            <w:pPr>
              <w:spacing w:after="0" w:line="240" w:lineRule="auto"/>
              <w:jc w:val="right"/>
              <w:rPr>
                <w:rFonts w:ascii="Cambria" w:hAnsi="Cambria"/>
                <w:lang w:val="en-US"/>
              </w:rPr>
            </w:pPr>
            <w:r>
              <w:rPr>
                <w:rFonts w:ascii="Cambria" w:hAnsi="Cambria"/>
                <w:lang w:val="en-US"/>
              </w:rPr>
              <w:t>Rs. 7832.51 lakhs</w:t>
            </w:r>
          </w:p>
        </w:tc>
      </w:tr>
      <w:tr w14:paraId="3BFE9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tcPr>
          <w:p w14:paraId="0EA28066">
            <w:pPr>
              <w:spacing w:after="0" w:line="240" w:lineRule="auto"/>
              <w:jc w:val="both"/>
              <w:rPr>
                <w:rFonts w:ascii="Cambria" w:hAnsi="Cambria"/>
                <w:lang w:val="en-US"/>
              </w:rPr>
            </w:pPr>
            <w:r>
              <w:rPr>
                <w:rFonts w:ascii="Cambria" w:hAnsi="Cambria"/>
                <w:lang w:val="en-US"/>
              </w:rPr>
              <w:t>% of functional equipment</w:t>
            </w:r>
          </w:p>
        </w:tc>
        <w:tc>
          <w:tcPr>
            <w:tcW w:w="3402" w:type="dxa"/>
          </w:tcPr>
          <w:p w14:paraId="0B2488D2">
            <w:pPr>
              <w:spacing w:after="0" w:line="240" w:lineRule="auto"/>
              <w:jc w:val="right"/>
              <w:rPr>
                <w:rFonts w:ascii="Cambria" w:hAnsi="Cambria"/>
                <w:lang w:val="en-US"/>
              </w:rPr>
            </w:pPr>
            <w:r>
              <w:rPr>
                <w:rFonts w:ascii="Cambria" w:hAnsi="Cambria"/>
                <w:lang w:val="en-US"/>
              </w:rPr>
              <w:t>99%</w:t>
            </w:r>
          </w:p>
        </w:tc>
      </w:tr>
      <w:tr w14:paraId="5384C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tcPr>
          <w:p w14:paraId="30294B83">
            <w:pPr>
              <w:spacing w:after="0" w:line="240" w:lineRule="auto"/>
              <w:jc w:val="both"/>
              <w:rPr>
                <w:rFonts w:ascii="Cambria" w:hAnsi="Cambria"/>
                <w:lang w:val="en-US"/>
              </w:rPr>
            </w:pPr>
            <w:r>
              <w:rPr>
                <w:rFonts w:ascii="Cambria" w:hAnsi="Cambria"/>
                <w:lang w:val="en-US"/>
              </w:rPr>
              <w:t>No of breakdown calls (2024-25)</w:t>
            </w:r>
          </w:p>
        </w:tc>
        <w:tc>
          <w:tcPr>
            <w:tcW w:w="3402" w:type="dxa"/>
          </w:tcPr>
          <w:p w14:paraId="3B42AA3F">
            <w:pPr>
              <w:spacing w:after="0" w:line="240" w:lineRule="auto"/>
              <w:jc w:val="right"/>
              <w:rPr>
                <w:rFonts w:ascii="Cambria" w:hAnsi="Cambria"/>
                <w:lang w:val="en-US"/>
              </w:rPr>
            </w:pPr>
            <w:r>
              <w:rPr>
                <w:rFonts w:ascii="Cambria" w:hAnsi="Cambria"/>
                <w:lang w:val="en-US"/>
              </w:rPr>
              <w:t>1629</w:t>
            </w:r>
          </w:p>
        </w:tc>
      </w:tr>
      <w:tr w14:paraId="1EA6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tcPr>
          <w:p w14:paraId="50D27635">
            <w:pPr>
              <w:spacing w:after="0" w:line="240" w:lineRule="auto"/>
              <w:jc w:val="both"/>
              <w:rPr>
                <w:rFonts w:ascii="Cambria" w:hAnsi="Cambria"/>
                <w:lang w:val="en-US"/>
              </w:rPr>
            </w:pPr>
            <w:r>
              <w:rPr>
                <w:rFonts w:ascii="Cambria" w:hAnsi="Cambria"/>
                <w:lang w:val="en-US"/>
              </w:rPr>
              <w:t>No of equipment proposed for condemnation</w:t>
            </w:r>
          </w:p>
        </w:tc>
        <w:tc>
          <w:tcPr>
            <w:tcW w:w="3402" w:type="dxa"/>
          </w:tcPr>
          <w:p w14:paraId="350DA8A5">
            <w:pPr>
              <w:spacing w:after="0" w:line="240" w:lineRule="auto"/>
              <w:jc w:val="right"/>
              <w:rPr>
                <w:rFonts w:ascii="Cambria" w:hAnsi="Cambria"/>
                <w:lang w:val="en-US"/>
              </w:rPr>
            </w:pPr>
            <w:r>
              <w:rPr>
                <w:rFonts w:ascii="Cambria" w:hAnsi="Cambria"/>
                <w:lang w:val="en-US"/>
              </w:rPr>
              <w:t>361</w:t>
            </w:r>
          </w:p>
        </w:tc>
      </w:tr>
      <w:tr w14:paraId="4183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tcPr>
          <w:p w14:paraId="55AB8FA9">
            <w:pPr>
              <w:spacing w:after="0" w:line="240" w:lineRule="auto"/>
              <w:jc w:val="both"/>
              <w:rPr>
                <w:rFonts w:ascii="Cambria" w:hAnsi="Cambria"/>
                <w:b/>
                <w:bCs/>
                <w:lang w:val="en-US"/>
              </w:rPr>
            </w:pPr>
            <w:r>
              <w:rPr>
                <w:rFonts w:ascii="Cambria" w:hAnsi="Cambria"/>
                <w:b/>
                <w:bCs/>
                <w:lang w:val="en-US"/>
              </w:rPr>
              <w:t>Amount proposed for biomedical equipment maintenance for 2026-27 (calculated at 10% of asset value+18%GST)</w:t>
            </w:r>
          </w:p>
        </w:tc>
        <w:tc>
          <w:tcPr>
            <w:tcW w:w="3402" w:type="dxa"/>
          </w:tcPr>
          <w:p w14:paraId="31B32AF3">
            <w:pPr>
              <w:spacing w:after="0" w:line="240" w:lineRule="auto"/>
              <w:jc w:val="right"/>
              <w:rPr>
                <w:rFonts w:ascii="Cambria" w:hAnsi="Cambria"/>
                <w:b/>
                <w:bCs/>
                <w:lang w:val="en-US"/>
              </w:rPr>
            </w:pPr>
            <w:r>
              <w:rPr>
                <w:rFonts w:ascii="Cambria" w:hAnsi="Cambria"/>
                <w:b/>
                <w:bCs/>
                <w:lang w:val="en-US"/>
              </w:rPr>
              <w:t xml:space="preserve">Rs. </w:t>
            </w:r>
            <w:r>
              <w:rPr>
                <w:rFonts w:ascii="Cambria" w:hAnsi="Cambria" w:cs="Calibri"/>
                <w:b/>
                <w:bCs/>
                <w:color w:val="000000"/>
                <w:sz w:val="22"/>
                <w:szCs w:val="22"/>
              </w:rPr>
              <w:t xml:space="preserve">924.23 </w:t>
            </w:r>
            <w:r>
              <w:rPr>
                <w:rFonts w:ascii="Cambria" w:hAnsi="Cambria"/>
                <w:b/>
                <w:bCs/>
              </w:rPr>
              <w:t>lakhs</w:t>
            </w:r>
          </w:p>
        </w:tc>
      </w:tr>
      <w:tr w14:paraId="2CAF1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2" w:type="dxa"/>
          </w:tcPr>
          <w:p w14:paraId="3A07592A">
            <w:pPr>
              <w:spacing w:after="0" w:line="240" w:lineRule="auto"/>
              <w:jc w:val="center"/>
              <w:rPr>
                <w:rFonts w:ascii="Cambria" w:hAnsi="Cambria"/>
                <w:b/>
                <w:bCs/>
                <w:lang w:val="en-US"/>
              </w:rPr>
            </w:pPr>
            <w:r>
              <w:rPr>
                <w:rFonts w:ascii="Cambria" w:hAnsi="Cambria"/>
                <w:b/>
                <w:bCs/>
                <w:lang w:val="en-US"/>
              </w:rPr>
              <w:t>TOTAL</w:t>
            </w:r>
          </w:p>
        </w:tc>
        <w:tc>
          <w:tcPr>
            <w:tcW w:w="3402" w:type="dxa"/>
          </w:tcPr>
          <w:p w14:paraId="4CC4166F">
            <w:pPr>
              <w:spacing w:after="0" w:line="240" w:lineRule="auto"/>
              <w:jc w:val="right"/>
              <w:rPr>
                <w:rFonts w:ascii="Cambria" w:hAnsi="Cambria"/>
                <w:b/>
                <w:bCs/>
                <w:lang w:val="en-US"/>
              </w:rPr>
            </w:pPr>
            <w:r>
              <w:rPr>
                <w:rFonts w:ascii="Cambria" w:hAnsi="Cambria"/>
                <w:b/>
                <w:bCs/>
                <w:lang w:val="en-US"/>
              </w:rPr>
              <w:t xml:space="preserve">Rs. </w:t>
            </w:r>
            <w:r>
              <w:rPr>
                <w:rFonts w:ascii="Cambria" w:hAnsi="Cambria" w:cs="Calibri"/>
                <w:b/>
                <w:bCs/>
                <w:color w:val="000000"/>
                <w:sz w:val="22"/>
                <w:szCs w:val="22"/>
              </w:rPr>
              <w:t>924.23</w:t>
            </w:r>
          </w:p>
          <w:p w14:paraId="46F47EBE">
            <w:pPr>
              <w:spacing w:after="0" w:line="240" w:lineRule="auto"/>
              <w:jc w:val="right"/>
              <w:rPr>
                <w:rFonts w:ascii="Cambria" w:hAnsi="Cambria"/>
                <w:b/>
                <w:bCs/>
                <w:lang w:val="en-US"/>
              </w:rPr>
            </w:pPr>
          </w:p>
        </w:tc>
      </w:tr>
    </w:tbl>
    <w:p w14:paraId="49E79199">
      <w:pPr>
        <w:ind w:firstLine="720"/>
        <w:jc w:val="both"/>
        <w:rPr>
          <w:rFonts w:ascii="Cambria" w:hAnsi="Cambria"/>
          <w:lang w:val="en-US"/>
        </w:rPr>
      </w:pPr>
    </w:p>
    <w:p w14:paraId="19C641BD">
      <w:pPr>
        <w:jc w:val="center"/>
        <w:rPr>
          <w:rFonts w:ascii="Cambria" w:hAnsi="Cambria"/>
          <w:b/>
          <w:bCs/>
          <w:lang w:val="en-US"/>
        </w:rPr>
      </w:pPr>
      <w:r>
        <w:rPr>
          <w:rFonts w:ascii="Cambria" w:hAnsi="Cambria"/>
          <w:b/>
          <w:bCs/>
          <w:lang w:val="en-US"/>
        </w:rPr>
        <w:t>District wise fund break up</w:t>
      </w:r>
    </w:p>
    <w:tbl>
      <w:tblPr>
        <w:tblStyle w:val="12"/>
        <w:tblW w:w="8647" w:type="dxa"/>
        <w:tblInd w:w="562" w:type="dxa"/>
        <w:tblLayout w:type="autofit"/>
        <w:tblCellMar>
          <w:top w:w="0" w:type="dxa"/>
          <w:left w:w="108" w:type="dxa"/>
          <w:bottom w:w="0" w:type="dxa"/>
          <w:right w:w="108" w:type="dxa"/>
        </w:tblCellMar>
      </w:tblPr>
      <w:tblGrid>
        <w:gridCol w:w="4395"/>
        <w:gridCol w:w="4252"/>
      </w:tblGrid>
      <w:tr w14:paraId="5DF77159">
        <w:tblPrEx>
          <w:tblCellMar>
            <w:top w:w="0" w:type="dxa"/>
            <w:left w:w="108" w:type="dxa"/>
            <w:bottom w:w="0" w:type="dxa"/>
            <w:right w:w="108" w:type="dxa"/>
          </w:tblCellMar>
        </w:tblPrEx>
        <w:trPr>
          <w:trHeight w:val="290" w:hRule="atLeast"/>
        </w:trPr>
        <w:tc>
          <w:tcPr>
            <w:tcW w:w="4395" w:type="dxa"/>
            <w:tcBorders>
              <w:top w:val="single" w:color="auto" w:sz="4" w:space="0"/>
              <w:left w:val="single" w:color="auto" w:sz="4" w:space="0"/>
              <w:bottom w:val="single" w:color="auto" w:sz="4" w:space="0"/>
              <w:right w:val="single" w:color="auto" w:sz="4" w:space="0"/>
            </w:tcBorders>
            <w:noWrap/>
            <w:vAlign w:val="bottom"/>
          </w:tcPr>
          <w:p w14:paraId="601FEC3E">
            <w:pPr>
              <w:spacing w:after="0" w:line="240" w:lineRule="auto"/>
              <w:jc w:val="center"/>
              <w:rPr>
                <w:rFonts w:ascii="Cambria" w:hAnsi="Cambria" w:eastAsia="Times New Roman" w:cs="Times New Roman"/>
                <w:b/>
                <w:bCs/>
                <w:color w:val="000000"/>
                <w:kern w:val="0"/>
                <w:lang w:val="en-US" w:eastAsia="en-IN"/>
                <w14:ligatures w14:val="none"/>
              </w:rPr>
            </w:pPr>
            <w:r>
              <w:rPr>
                <w:rFonts w:ascii="Cambria" w:hAnsi="Cambria" w:eastAsia="Times New Roman" w:cs="Times New Roman"/>
                <w:b/>
                <w:bCs/>
                <w:color w:val="000000"/>
                <w:kern w:val="0"/>
                <w:lang w:val="en-US" w:eastAsia="en-IN"/>
                <w14:ligatures w14:val="none"/>
              </w:rPr>
              <w:t>District</w:t>
            </w:r>
          </w:p>
        </w:tc>
        <w:tc>
          <w:tcPr>
            <w:tcW w:w="4252" w:type="dxa"/>
            <w:tcBorders>
              <w:top w:val="single" w:color="auto" w:sz="4" w:space="0"/>
              <w:left w:val="nil"/>
              <w:bottom w:val="single" w:color="auto" w:sz="4" w:space="0"/>
              <w:right w:val="single" w:color="auto" w:sz="4" w:space="0"/>
            </w:tcBorders>
            <w:noWrap/>
            <w:vAlign w:val="bottom"/>
          </w:tcPr>
          <w:p w14:paraId="43B6FC3C">
            <w:pPr>
              <w:spacing w:after="0" w:line="240" w:lineRule="auto"/>
              <w:jc w:val="center"/>
              <w:rPr>
                <w:rFonts w:ascii="Cambria" w:hAnsi="Cambria" w:eastAsia="Times New Roman" w:cs="Times New Roman"/>
                <w:b/>
                <w:bCs/>
                <w:color w:val="000000"/>
                <w:kern w:val="0"/>
                <w:lang w:eastAsia="en-IN"/>
                <w14:ligatures w14:val="none"/>
              </w:rPr>
            </w:pPr>
            <w:r>
              <w:rPr>
                <w:rFonts w:ascii="Cambria" w:hAnsi="Cambria" w:eastAsia="Times New Roman" w:cs="Times New Roman"/>
                <w:b/>
                <w:bCs/>
                <w:color w:val="000000"/>
                <w:kern w:val="0"/>
                <w:lang w:eastAsia="en-IN"/>
                <w14:ligatures w14:val="none"/>
              </w:rPr>
              <w:t>Amount in Rs</w:t>
            </w:r>
          </w:p>
        </w:tc>
      </w:tr>
      <w:tr w14:paraId="14E35E2B">
        <w:tblPrEx>
          <w:tblCellMar>
            <w:top w:w="0" w:type="dxa"/>
            <w:left w:w="108" w:type="dxa"/>
            <w:bottom w:w="0" w:type="dxa"/>
            <w:right w:w="108" w:type="dxa"/>
          </w:tblCellMar>
        </w:tblPrEx>
        <w:trPr>
          <w:trHeight w:val="290" w:hRule="atLeast"/>
        </w:trPr>
        <w:tc>
          <w:tcPr>
            <w:tcW w:w="4395" w:type="dxa"/>
            <w:tcBorders>
              <w:top w:val="single" w:color="auto" w:sz="4" w:space="0"/>
              <w:left w:val="single" w:color="auto" w:sz="4" w:space="0"/>
              <w:bottom w:val="single" w:color="auto" w:sz="4" w:space="0"/>
              <w:right w:val="single" w:color="auto" w:sz="4" w:space="0"/>
            </w:tcBorders>
            <w:noWrap/>
            <w:vAlign w:val="bottom"/>
          </w:tcPr>
          <w:p w14:paraId="2EDF6993">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Aizawl East</w:t>
            </w:r>
          </w:p>
        </w:tc>
        <w:tc>
          <w:tcPr>
            <w:tcW w:w="4252" w:type="dxa"/>
            <w:tcBorders>
              <w:top w:val="single" w:color="auto" w:sz="4" w:space="0"/>
              <w:left w:val="nil"/>
              <w:bottom w:val="single" w:color="auto" w:sz="4" w:space="0"/>
              <w:right w:val="single" w:color="auto" w:sz="4" w:space="0"/>
            </w:tcBorders>
            <w:noWrap/>
          </w:tcPr>
          <w:p w14:paraId="5330DEE2">
            <w:pPr>
              <w:jc w:val="right"/>
              <w:rPr>
                <w:rFonts w:ascii="Calibri" w:hAnsi="Calibri" w:cs="Calibri"/>
                <w:color w:val="000000"/>
                <w:sz w:val="22"/>
                <w:szCs w:val="22"/>
              </w:rPr>
            </w:pPr>
            <w:r>
              <w:rPr>
                <w:rFonts w:ascii="Calibri" w:hAnsi="Calibri" w:cs="Calibri"/>
                <w:color w:val="000000"/>
                <w:sz w:val="22"/>
                <w:szCs w:val="22"/>
              </w:rPr>
              <w:t>7701975</w:t>
            </w:r>
          </w:p>
        </w:tc>
      </w:tr>
      <w:tr w14:paraId="10D7B1D7">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71A057D5">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Aizawl West</w:t>
            </w:r>
          </w:p>
        </w:tc>
        <w:tc>
          <w:tcPr>
            <w:tcW w:w="4252" w:type="dxa"/>
            <w:tcBorders>
              <w:top w:val="nil"/>
              <w:left w:val="nil"/>
              <w:bottom w:val="single" w:color="auto" w:sz="4" w:space="0"/>
              <w:right w:val="single" w:color="auto" w:sz="4" w:space="0"/>
            </w:tcBorders>
            <w:noWrap/>
          </w:tcPr>
          <w:p w14:paraId="0B427D90">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43C2A0B4">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3DCE453F">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Champhai</w:t>
            </w:r>
          </w:p>
        </w:tc>
        <w:tc>
          <w:tcPr>
            <w:tcW w:w="4252" w:type="dxa"/>
            <w:tcBorders>
              <w:top w:val="nil"/>
              <w:left w:val="nil"/>
              <w:bottom w:val="single" w:color="auto" w:sz="4" w:space="0"/>
              <w:right w:val="single" w:color="auto" w:sz="4" w:space="0"/>
            </w:tcBorders>
            <w:noWrap/>
          </w:tcPr>
          <w:p w14:paraId="7398B0C6">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04A969C7">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1C9BEE23">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Kolasib</w:t>
            </w:r>
          </w:p>
        </w:tc>
        <w:tc>
          <w:tcPr>
            <w:tcW w:w="4252" w:type="dxa"/>
            <w:tcBorders>
              <w:top w:val="nil"/>
              <w:left w:val="nil"/>
              <w:bottom w:val="single" w:color="auto" w:sz="4" w:space="0"/>
              <w:right w:val="single" w:color="auto" w:sz="4" w:space="0"/>
            </w:tcBorders>
            <w:noWrap/>
          </w:tcPr>
          <w:p w14:paraId="189AC5F8">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295C3A0D">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724BB0FC">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Lawngtlai</w:t>
            </w:r>
          </w:p>
        </w:tc>
        <w:tc>
          <w:tcPr>
            <w:tcW w:w="4252" w:type="dxa"/>
            <w:tcBorders>
              <w:top w:val="nil"/>
              <w:left w:val="nil"/>
              <w:bottom w:val="single" w:color="auto" w:sz="4" w:space="0"/>
              <w:right w:val="single" w:color="auto" w:sz="4" w:space="0"/>
            </w:tcBorders>
            <w:noWrap/>
          </w:tcPr>
          <w:p w14:paraId="3D315A26">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1CFFA740">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522BBAD2">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Lunglei</w:t>
            </w:r>
          </w:p>
        </w:tc>
        <w:tc>
          <w:tcPr>
            <w:tcW w:w="4252" w:type="dxa"/>
            <w:tcBorders>
              <w:top w:val="nil"/>
              <w:left w:val="nil"/>
              <w:bottom w:val="single" w:color="auto" w:sz="4" w:space="0"/>
              <w:right w:val="single" w:color="auto" w:sz="4" w:space="0"/>
            </w:tcBorders>
            <w:noWrap/>
          </w:tcPr>
          <w:p w14:paraId="4267A3B1">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15538238">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16C015F3">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Mamit</w:t>
            </w:r>
          </w:p>
        </w:tc>
        <w:tc>
          <w:tcPr>
            <w:tcW w:w="4252" w:type="dxa"/>
            <w:tcBorders>
              <w:top w:val="nil"/>
              <w:left w:val="nil"/>
              <w:bottom w:val="single" w:color="auto" w:sz="4" w:space="0"/>
              <w:right w:val="single" w:color="auto" w:sz="4" w:space="0"/>
            </w:tcBorders>
            <w:noWrap/>
          </w:tcPr>
          <w:p w14:paraId="0A630F6D">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4374F4AA">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3FB76BF8">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Saiha</w:t>
            </w:r>
          </w:p>
        </w:tc>
        <w:tc>
          <w:tcPr>
            <w:tcW w:w="4252" w:type="dxa"/>
            <w:tcBorders>
              <w:top w:val="nil"/>
              <w:left w:val="nil"/>
              <w:bottom w:val="single" w:color="auto" w:sz="4" w:space="0"/>
              <w:right w:val="single" w:color="auto" w:sz="4" w:space="0"/>
            </w:tcBorders>
            <w:noWrap/>
          </w:tcPr>
          <w:p w14:paraId="13CD3B9F">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1F8B5173">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78DAF68B">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val="en-US" w:eastAsia="en-IN"/>
                <w14:ligatures w14:val="none"/>
              </w:rPr>
              <w:t>Serchhip</w:t>
            </w:r>
          </w:p>
        </w:tc>
        <w:tc>
          <w:tcPr>
            <w:tcW w:w="4252" w:type="dxa"/>
            <w:tcBorders>
              <w:top w:val="nil"/>
              <w:left w:val="nil"/>
              <w:bottom w:val="single" w:color="auto" w:sz="4" w:space="0"/>
              <w:right w:val="single" w:color="auto" w:sz="4" w:space="0"/>
            </w:tcBorders>
            <w:noWrap/>
          </w:tcPr>
          <w:p w14:paraId="54D236C0">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77FEFFF2">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3EC05942">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eastAsia="en-IN"/>
                <w14:ligatures w14:val="none"/>
              </w:rPr>
              <w:t>Saitual</w:t>
            </w:r>
          </w:p>
        </w:tc>
        <w:tc>
          <w:tcPr>
            <w:tcW w:w="4252" w:type="dxa"/>
            <w:tcBorders>
              <w:top w:val="nil"/>
              <w:left w:val="nil"/>
              <w:bottom w:val="single" w:color="auto" w:sz="4" w:space="0"/>
              <w:right w:val="single" w:color="auto" w:sz="4" w:space="0"/>
            </w:tcBorders>
            <w:noWrap/>
          </w:tcPr>
          <w:p w14:paraId="69A848D5">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52800875">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0CADEEB0">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eastAsia="en-IN"/>
                <w14:ligatures w14:val="none"/>
              </w:rPr>
              <w:t>Hnahthial</w:t>
            </w:r>
          </w:p>
        </w:tc>
        <w:tc>
          <w:tcPr>
            <w:tcW w:w="4252" w:type="dxa"/>
            <w:tcBorders>
              <w:top w:val="nil"/>
              <w:left w:val="nil"/>
              <w:bottom w:val="single" w:color="auto" w:sz="4" w:space="0"/>
              <w:right w:val="single" w:color="auto" w:sz="4" w:space="0"/>
            </w:tcBorders>
            <w:noWrap/>
          </w:tcPr>
          <w:p w14:paraId="24F7D3AB">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38C3AA57">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14D15955">
            <w:pPr>
              <w:spacing w:after="0" w:line="240" w:lineRule="auto"/>
              <w:rPr>
                <w:rFonts w:ascii="Cambria" w:hAnsi="Cambria" w:eastAsia="Times New Roman" w:cs="Times New Roman"/>
                <w:color w:val="000000"/>
                <w:kern w:val="0"/>
                <w:lang w:eastAsia="en-IN"/>
                <w14:ligatures w14:val="none"/>
              </w:rPr>
            </w:pPr>
            <w:r>
              <w:rPr>
                <w:rFonts w:ascii="Cambria" w:hAnsi="Cambria" w:eastAsia="Times New Roman" w:cs="Times New Roman"/>
                <w:color w:val="000000"/>
                <w:kern w:val="0"/>
                <w:lang w:eastAsia="en-IN"/>
                <w14:ligatures w14:val="none"/>
              </w:rPr>
              <w:t>Khawzawl</w:t>
            </w:r>
          </w:p>
        </w:tc>
        <w:tc>
          <w:tcPr>
            <w:tcW w:w="4252" w:type="dxa"/>
            <w:tcBorders>
              <w:top w:val="nil"/>
              <w:left w:val="nil"/>
              <w:bottom w:val="single" w:color="auto" w:sz="4" w:space="0"/>
              <w:right w:val="single" w:color="auto" w:sz="4" w:space="0"/>
            </w:tcBorders>
            <w:noWrap/>
          </w:tcPr>
          <w:p w14:paraId="3A7F17DF">
            <w:pPr>
              <w:spacing w:after="0" w:line="240" w:lineRule="auto"/>
              <w:jc w:val="right"/>
              <w:rPr>
                <w:rFonts w:ascii="Cambria" w:hAnsi="Cambria" w:eastAsia="Times New Roman" w:cs="Times New Roman"/>
                <w:color w:val="000000"/>
                <w:kern w:val="0"/>
                <w:lang w:eastAsia="en-IN"/>
                <w14:ligatures w14:val="none"/>
              </w:rPr>
            </w:pPr>
            <w:r>
              <w:rPr>
                <w:rFonts w:ascii="Calibri" w:hAnsi="Calibri" w:cs="Calibri"/>
                <w:color w:val="000000"/>
                <w:sz w:val="22"/>
                <w:szCs w:val="22"/>
              </w:rPr>
              <w:t>7701975</w:t>
            </w:r>
          </w:p>
        </w:tc>
      </w:tr>
      <w:tr w14:paraId="2BF3A0BA">
        <w:tblPrEx>
          <w:tblCellMar>
            <w:top w:w="0" w:type="dxa"/>
            <w:left w:w="108" w:type="dxa"/>
            <w:bottom w:w="0" w:type="dxa"/>
            <w:right w:w="108" w:type="dxa"/>
          </w:tblCellMar>
        </w:tblPrEx>
        <w:trPr>
          <w:trHeight w:val="290" w:hRule="atLeast"/>
        </w:trPr>
        <w:tc>
          <w:tcPr>
            <w:tcW w:w="4395" w:type="dxa"/>
            <w:tcBorders>
              <w:top w:val="nil"/>
              <w:left w:val="single" w:color="auto" w:sz="4" w:space="0"/>
              <w:bottom w:val="single" w:color="auto" w:sz="4" w:space="0"/>
              <w:right w:val="single" w:color="auto" w:sz="4" w:space="0"/>
            </w:tcBorders>
            <w:noWrap/>
            <w:vAlign w:val="bottom"/>
          </w:tcPr>
          <w:p w14:paraId="456AADC3">
            <w:pPr>
              <w:spacing w:after="0" w:line="240" w:lineRule="auto"/>
              <w:jc w:val="center"/>
              <w:rPr>
                <w:rFonts w:ascii="Cambria" w:hAnsi="Cambria" w:eastAsia="Times New Roman" w:cs="Times New Roman"/>
                <w:b/>
                <w:bCs/>
                <w:color w:val="000000"/>
                <w:kern w:val="0"/>
                <w:lang w:eastAsia="en-IN"/>
                <w14:ligatures w14:val="none"/>
              </w:rPr>
            </w:pPr>
          </w:p>
        </w:tc>
        <w:tc>
          <w:tcPr>
            <w:tcW w:w="4252" w:type="dxa"/>
            <w:tcBorders>
              <w:top w:val="nil"/>
              <w:left w:val="nil"/>
              <w:bottom w:val="single" w:color="auto" w:sz="4" w:space="0"/>
              <w:right w:val="single" w:color="auto" w:sz="4" w:space="0"/>
            </w:tcBorders>
            <w:noWrap/>
          </w:tcPr>
          <w:p w14:paraId="25904D56">
            <w:pPr>
              <w:jc w:val="right"/>
              <w:rPr>
                <w:rFonts w:ascii="Calibri" w:hAnsi="Calibri" w:cs="Calibri"/>
                <w:color w:val="000000"/>
                <w:sz w:val="22"/>
                <w:szCs w:val="22"/>
              </w:rPr>
            </w:pPr>
            <w:bookmarkStart w:id="0" w:name="_GoBack"/>
            <w:r>
              <w:rPr>
                <w:rFonts w:ascii="Calibri" w:hAnsi="Calibri" w:cs="Calibri"/>
                <w:b/>
                <w:bCs/>
                <w:color w:val="000000"/>
                <w:sz w:val="22"/>
                <w:szCs w:val="22"/>
              </w:rPr>
              <w:t>92423695</w:t>
            </w:r>
            <w:bookmarkEnd w:id="0"/>
          </w:p>
        </w:tc>
      </w:tr>
    </w:tbl>
    <w:p w14:paraId="774C81B7">
      <w:pPr>
        <w:jc w:val="center"/>
        <w:rPr>
          <w:rFonts w:ascii="Cambria" w:hAnsi="Cambria"/>
          <w:b/>
          <w:bCs/>
          <w:lang w:val="en-US"/>
        </w:rPr>
      </w:pPr>
    </w:p>
    <w:p w14:paraId="06E822C6">
      <w:pPr>
        <w:jc w:val="center"/>
        <w:rPr>
          <w:rFonts w:ascii="Cambria" w:hAnsi="Cambria"/>
          <w:lang w:val="en-US"/>
        </w:rPr>
      </w:pPr>
    </w:p>
    <w:p w14:paraId="6F7BD680">
      <w:pPr>
        <w:rPr>
          <w:rFonts w:ascii="Cambria" w:hAnsi="Cambria"/>
          <w:lang w:val="en-US"/>
        </w:rPr>
      </w:pPr>
    </w:p>
    <w:sectPr>
      <w:pgSz w:w="11906" w:h="16838"/>
      <w:pgMar w:top="1440" w:right="1080" w:bottom="1440" w:left="108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imSun"/>
    <w:panose1 w:val="00000000000000000000"/>
    <w:charset w:val="86"/>
    <w:family w:val="swiss"/>
    <w:pitch w:val="default"/>
    <w:sig w:usb0="00000000" w:usb1="00000000" w:usb2="00000000" w:usb3="00000000" w:csb0="0000019F" w:csb1="00000000"/>
  </w:font>
  <w:font w:name="Aptos">
    <w:altName w:val="Segoe Print"/>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244A90"/>
    <w:multiLevelType w:val="multilevel"/>
    <w:tmpl w:val="36244A90"/>
    <w:lvl w:ilvl="0" w:tentative="0">
      <w:start w:val="1"/>
      <w:numFmt w:val="decimal"/>
      <w:lvlText w:val="%1."/>
      <w:lvlJc w:val="left"/>
      <w:pPr>
        <w:tabs>
          <w:tab w:val="left" w:pos="720"/>
        </w:tabs>
        <w:ind w:left="720" w:hanging="360"/>
      </w:pPr>
    </w:lvl>
    <w:lvl w:ilvl="1" w:tentative="0">
      <w:start w:val="1"/>
      <w:numFmt w:val="decimal"/>
      <w:lvlText w:val="%2."/>
      <w:lvlJc w:val="left"/>
      <w:pPr>
        <w:ind w:left="1440" w:hanging="360"/>
      </w:pPr>
      <w:rPr>
        <w:rFonts w:hint="default"/>
        <w:b/>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378B08C4"/>
    <w:multiLevelType w:val="multilevel"/>
    <w:tmpl w:val="378B08C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522B75DE"/>
    <w:multiLevelType w:val="multilevel"/>
    <w:tmpl w:val="522B75D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284"/>
    <w:rsid w:val="000C4C67"/>
    <w:rsid w:val="00145BBB"/>
    <w:rsid w:val="001C4FD9"/>
    <w:rsid w:val="001D11CE"/>
    <w:rsid w:val="00215160"/>
    <w:rsid w:val="0023133A"/>
    <w:rsid w:val="002366BA"/>
    <w:rsid w:val="002B48AF"/>
    <w:rsid w:val="00324284"/>
    <w:rsid w:val="003B5360"/>
    <w:rsid w:val="00401D5C"/>
    <w:rsid w:val="0047455D"/>
    <w:rsid w:val="00600EFB"/>
    <w:rsid w:val="00642772"/>
    <w:rsid w:val="0069721A"/>
    <w:rsid w:val="007211FB"/>
    <w:rsid w:val="00732D05"/>
    <w:rsid w:val="007F47A6"/>
    <w:rsid w:val="0083552E"/>
    <w:rsid w:val="008D4309"/>
    <w:rsid w:val="008D5288"/>
    <w:rsid w:val="00943E27"/>
    <w:rsid w:val="0096784A"/>
    <w:rsid w:val="009E0978"/>
    <w:rsid w:val="00B65C3E"/>
    <w:rsid w:val="00B75A67"/>
    <w:rsid w:val="00B91207"/>
    <w:rsid w:val="00BF56CA"/>
    <w:rsid w:val="00BF5B34"/>
    <w:rsid w:val="00D168A3"/>
    <w:rsid w:val="00D52024"/>
    <w:rsid w:val="00E47450"/>
    <w:rsid w:val="00E57092"/>
    <w:rsid w:val="00FB3920"/>
    <w:rsid w:val="79DA489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IN" w:eastAsia="en-US" w:bidi="ar-SA"/>
      <w14:ligatures w14:val="standardContextual"/>
    </w:rPr>
  </w:style>
  <w:style w:type="paragraph" w:styleId="2">
    <w:name w:val="heading 1"/>
    <w:basedOn w:val="1"/>
    <w:next w:val="1"/>
    <w:link w:val="16"/>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8"/>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19"/>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0"/>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1"/>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2"/>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Subtitle"/>
    <w:basedOn w:val="1"/>
    <w:next w:val="1"/>
    <w:link w:val="26"/>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4">
    <w:name w:val="Table Grid"/>
    <w:basedOn w:val="12"/>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itle"/>
    <w:basedOn w:val="1"/>
    <w:next w:val="1"/>
    <w:link w:val="25"/>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6">
    <w:name w:val="Heading 1 Char"/>
    <w:basedOn w:val="11"/>
    <w:link w:val="2"/>
    <w:uiPriority w:val="9"/>
    <w:rPr>
      <w:rFonts w:asciiTheme="majorHAnsi" w:hAnsiTheme="majorHAnsi" w:eastAsiaTheme="majorEastAsia" w:cstheme="majorBidi"/>
      <w:color w:val="104862" w:themeColor="accent1" w:themeShade="BF"/>
      <w:sz w:val="40"/>
      <w:szCs w:val="40"/>
    </w:rPr>
  </w:style>
  <w:style w:type="character" w:customStyle="1" w:styleId="17">
    <w:name w:val="Heading 2 Char"/>
    <w:basedOn w:val="11"/>
    <w:link w:val="3"/>
    <w:semiHidden/>
    <w:uiPriority w:val="9"/>
    <w:rPr>
      <w:rFonts w:asciiTheme="majorHAnsi" w:hAnsiTheme="majorHAnsi" w:eastAsiaTheme="majorEastAsia" w:cstheme="majorBidi"/>
      <w:color w:val="104862" w:themeColor="accent1" w:themeShade="BF"/>
      <w:sz w:val="32"/>
      <w:szCs w:val="32"/>
    </w:rPr>
  </w:style>
  <w:style w:type="character" w:customStyle="1" w:styleId="18">
    <w:name w:val="Heading 3 Char"/>
    <w:basedOn w:val="11"/>
    <w:link w:val="4"/>
    <w:semiHidden/>
    <w:uiPriority w:val="9"/>
    <w:rPr>
      <w:rFonts w:eastAsiaTheme="majorEastAsia" w:cstheme="majorBidi"/>
      <w:color w:val="104862" w:themeColor="accent1" w:themeShade="BF"/>
      <w:sz w:val="28"/>
      <w:szCs w:val="28"/>
    </w:rPr>
  </w:style>
  <w:style w:type="character" w:customStyle="1" w:styleId="19">
    <w:name w:val="Heading 4 Char"/>
    <w:basedOn w:val="11"/>
    <w:link w:val="5"/>
    <w:semiHidden/>
    <w:uiPriority w:val="9"/>
    <w:rPr>
      <w:rFonts w:eastAsiaTheme="majorEastAsia" w:cstheme="majorBidi"/>
      <w:i/>
      <w:iCs/>
      <w:color w:val="104862" w:themeColor="accent1" w:themeShade="BF"/>
    </w:rPr>
  </w:style>
  <w:style w:type="character" w:customStyle="1" w:styleId="20">
    <w:name w:val="Heading 5 Char"/>
    <w:basedOn w:val="11"/>
    <w:link w:val="6"/>
    <w:semiHidden/>
    <w:uiPriority w:val="9"/>
    <w:rPr>
      <w:rFonts w:eastAsiaTheme="majorEastAsia" w:cstheme="majorBidi"/>
      <w:color w:val="104862" w:themeColor="accent1" w:themeShade="BF"/>
    </w:rPr>
  </w:style>
  <w:style w:type="character" w:customStyle="1" w:styleId="21">
    <w:name w:val="Heading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2">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3">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4">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5">
    <w:name w:val="Title Char"/>
    <w:basedOn w:val="11"/>
    <w:link w:val="15"/>
    <w:uiPriority w:val="10"/>
    <w:rPr>
      <w:rFonts w:asciiTheme="majorHAnsi" w:hAnsiTheme="majorHAnsi" w:eastAsiaTheme="majorEastAsia" w:cstheme="majorBidi"/>
      <w:spacing w:val="-10"/>
      <w:kern w:val="28"/>
      <w:sz w:val="56"/>
      <w:szCs w:val="56"/>
    </w:rPr>
  </w:style>
  <w:style w:type="character" w:customStyle="1" w:styleId="26">
    <w:name w:val="Subtitle Char"/>
    <w:basedOn w:val="11"/>
    <w:link w:val="13"/>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Quote Char"/>
    <w:basedOn w:val="11"/>
    <w:link w:val="27"/>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1"/>
    <w:qFormat/>
    <w:uiPriority w:val="21"/>
    <w:rPr>
      <w:i/>
      <w:iCs/>
      <w:color w:val="104862" w:themeColor="accent1" w:themeShade="BF"/>
    </w:rPr>
  </w:style>
  <w:style w:type="paragraph" w:styleId="31">
    <w:name w:val="Intense Quote"/>
    <w:basedOn w:val="1"/>
    <w:next w:val="1"/>
    <w:link w:val="32"/>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2">
    <w:name w:val="Intense Quote Char"/>
    <w:basedOn w:val="11"/>
    <w:link w:val="31"/>
    <w:uiPriority w:val="30"/>
    <w:rPr>
      <w:i/>
      <w:iCs/>
      <w:color w:val="104862" w:themeColor="accent1" w:themeShade="BF"/>
    </w:rPr>
  </w:style>
  <w:style w:type="character" w:customStyle="1" w:styleId="33">
    <w:name w:val="Intense Reference"/>
    <w:basedOn w:val="11"/>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4</Pages>
  <Words>914</Words>
  <Characters>5211</Characters>
  <Lines>43</Lines>
  <Paragraphs>12</Paragraphs>
  <TotalTime>248</TotalTime>
  <ScaleCrop>false</ScaleCrop>
  <LinksUpToDate>false</LinksUpToDate>
  <CharactersWithSpaces>6113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2025-10-09T07:40:00Z</dcterms:created>
  <dc:creator>Dr Mary Zohmingliani</dc:creator>
  <cp:lastModifiedBy>FDSI FDI</cp:lastModifiedBy>
  <dcterms:modified xsi:type="dcterms:W3CDTF">2026-03-06T04:29:58Z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EFF855627B034819891779DD8E32E347_12</vt:lpwstr>
  </property>
</Properties>
</file>